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6003548D"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1051DE">
        <w:rPr>
          <w:rFonts w:ascii="Arial" w:hAnsi="Arial" w:cs="Arial"/>
          <w:b/>
          <w:noProof/>
          <w:sz w:val="24"/>
        </w:rPr>
        <w:t>3</w:t>
      </w:r>
      <w:r w:rsidRPr="00391B41">
        <w:rPr>
          <w:rFonts w:ascii="Arial" w:hAnsi="Arial" w:cs="Arial"/>
          <w:b/>
          <w:noProof/>
          <w:sz w:val="24"/>
          <w:szCs w:val="24"/>
          <w:lang w:val="en-US"/>
        </w:rPr>
        <w:tab/>
      </w:r>
      <w:bookmarkStart w:id="0" w:name="_GoBack"/>
      <w:r w:rsidR="00251423">
        <w:rPr>
          <w:rFonts w:ascii="Arial" w:hAnsi="Arial" w:cs="Arial"/>
          <w:b/>
          <w:bCs/>
          <w:color w:val="808080"/>
          <w:sz w:val="26"/>
          <w:szCs w:val="26"/>
        </w:rPr>
        <w:t>R4-1915313</w:t>
      </w:r>
      <w:bookmarkEnd w:id="0"/>
    </w:p>
    <w:p w14:paraId="4AF193F7" w14:textId="03E41B5A" w:rsidR="00E5108D" w:rsidRDefault="001051DE" w:rsidP="00DB3907">
      <w:pPr>
        <w:tabs>
          <w:tab w:val="left" w:pos="1985"/>
        </w:tabs>
        <w:rPr>
          <w:rFonts w:ascii="Arial" w:hAnsi="Arial"/>
          <w:b/>
          <w:sz w:val="24"/>
          <w:lang w:val="en-US"/>
        </w:rPr>
      </w:pPr>
      <w:r>
        <w:rPr>
          <w:rFonts w:ascii="Arial" w:hAnsi="Arial"/>
          <w:b/>
          <w:bCs/>
          <w:noProof/>
          <w:szCs w:val="16"/>
          <w:lang w:val="en-US"/>
        </w:rPr>
        <w:t>Reno, NV</w:t>
      </w: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193978FE"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0E79" w:rsidRPr="00060E79">
        <w:rPr>
          <w:rFonts w:ascii="Arial" w:hAnsi="Arial"/>
          <w:sz w:val="24"/>
          <w:lang w:val="en-US"/>
        </w:rPr>
        <w:t xml:space="preserve">UE capability of </w:t>
      </w:r>
      <w:r w:rsidR="00C26F63">
        <w:rPr>
          <w:rFonts w:ascii="Arial" w:hAnsi="Arial"/>
          <w:sz w:val="24"/>
          <w:lang w:val="en-US"/>
        </w:rPr>
        <w:t xml:space="preserve">requiring no </w:t>
      </w:r>
      <w:r w:rsidR="00060E79" w:rsidRPr="00060E79">
        <w:rPr>
          <w:rFonts w:ascii="Arial" w:hAnsi="Arial"/>
          <w:sz w:val="24"/>
          <w:lang w:val="en-US"/>
        </w:rPr>
        <w:t>guard period for SRS with frequency hopping and antenna switching</w:t>
      </w:r>
    </w:p>
    <w:p w14:paraId="67DD213C" w14:textId="655EEF58"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02314">
        <w:rPr>
          <w:rFonts w:ascii="Arial" w:hAnsi="Arial"/>
          <w:sz w:val="24"/>
          <w:lang w:val="en-US"/>
        </w:rPr>
        <w:t>12</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00A909D" w14:textId="6FCE7787" w:rsidR="00060E79" w:rsidRDefault="00060E79" w:rsidP="00F22934">
      <w:pPr>
        <w:rPr>
          <w:lang w:val="en-US"/>
        </w:rPr>
      </w:pPr>
      <w:r>
        <w:rPr>
          <w:noProof/>
          <w:lang w:val="en-US"/>
        </w:rPr>
        <mc:AlternateContent>
          <mc:Choice Requires="wps">
            <w:drawing>
              <wp:anchor distT="0" distB="0" distL="114300" distR="114300" simplePos="0" relativeHeight="251659264" behindDoc="0" locked="0" layoutInCell="1" allowOverlap="1" wp14:anchorId="5ECC5619" wp14:editId="7DCFBCCA">
                <wp:simplePos x="0" y="0"/>
                <wp:positionH relativeFrom="column">
                  <wp:posOffset>-67537</wp:posOffset>
                </wp:positionH>
                <wp:positionV relativeFrom="paragraph">
                  <wp:posOffset>397235</wp:posOffset>
                </wp:positionV>
                <wp:extent cx="6236932" cy="1241946"/>
                <wp:effectExtent l="0" t="0" r="12065" b="15875"/>
                <wp:wrapNone/>
                <wp:docPr id="1" name="Rectangle 1"/>
                <wp:cNvGraphicFramePr/>
                <a:graphic xmlns:a="http://schemas.openxmlformats.org/drawingml/2006/main">
                  <a:graphicData uri="http://schemas.microsoft.com/office/word/2010/wordprocessingShape">
                    <wps:wsp>
                      <wps:cNvSpPr/>
                      <wps:spPr>
                        <a:xfrm>
                          <a:off x="0" y="0"/>
                          <a:ext cx="6236932" cy="124194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1C83D" id="Rectangle 1" o:spid="_x0000_s1026" style="position:absolute;margin-left:-5.3pt;margin-top:31.3pt;width:491.1pt;height:9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" filled="f" strokecolor="#1f3763 [1604]" strokeweight="1pt"/>
            </w:pict>
          </mc:Fallback>
        </mc:AlternateContent>
      </w:r>
      <w:r>
        <w:rPr>
          <w:lang w:val="en-US"/>
        </w:rPr>
        <w:t xml:space="preserve">In [1], RAN1 asks RAN4 if a guard period is required for frequency hopping and for antenna switching. The following is the agreement in RAN1: </w:t>
      </w:r>
    </w:p>
    <w:p w14:paraId="1F10B160" w14:textId="77777777" w:rsidR="00060E79" w:rsidRPr="008F6175" w:rsidRDefault="00060E79" w:rsidP="00060E79">
      <w:pPr>
        <w:rPr>
          <w:b/>
          <w:bCs/>
          <w:highlight w:val="green"/>
        </w:rPr>
      </w:pPr>
      <w:r w:rsidRPr="008F6175">
        <w:rPr>
          <w:b/>
          <w:bCs/>
          <w:highlight w:val="green"/>
        </w:rPr>
        <w:t>Agreement</w:t>
      </w:r>
    </w:p>
    <w:p w14:paraId="5E7170B0" w14:textId="77777777" w:rsidR="00060E79" w:rsidRPr="008F6175" w:rsidRDefault="00060E79" w:rsidP="00060E79">
      <w:r w:rsidRPr="008F6175">
        <w:t xml:space="preserve">Guard period for frequency hopping and/or antenna switching can be configured regardless of intra-subframe repetition configuration. </w:t>
      </w:r>
    </w:p>
    <w:p w14:paraId="40FCEE59" w14:textId="77777777" w:rsidR="00060E79" w:rsidRPr="008F6175" w:rsidRDefault="00060E79" w:rsidP="00060E79">
      <w:pPr>
        <w:numPr>
          <w:ilvl w:val="0"/>
          <w:numId w:val="24"/>
        </w:numPr>
        <w:spacing w:after="0"/>
        <w:ind w:left="720" w:hanging="320"/>
      </w:pPr>
      <w:r w:rsidRPr="008F6175">
        <w:t>It is up to RAN4 to introduce a UE capability for those UEs which do not require guard period.</w:t>
      </w:r>
    </w:p>
    <w:p w14:paraId="4250A113" w14:textId="77777777" w:rsidR="00060E79" w:rsidRDefault="00060E79" w:rsidP="00060E79">
      <w:pPr>
        <w:numPr>
          <w:ilvl w:val="1"/>
          <w:numId w:val="24"/>
        </w:numPr>
        <w:spacing w:after="0"/>
      </w:pPr>
      <w:r w:rsidRPr="008F6175">
        <w:t>Including whether to have separate UE capabilities for frequency hopping and antenna switching if such UE capability is introduced</w:t>
      </w:r>
    </w:p>
    <w:p w14:paraId="60324AB6" w14:textId="77777777" w:rsidR="00060E79" w:rsidRDefault="00060E79" w:rsidP="00F22934">
      <w:pPr>
        <w:rPr>
          <w:lang w:val="en-US"/>
        </w:rPr>
      </w:pPr>
    </w:p>
    <w:p w14:paraId="2E83D546" w14:textId="4F60D40B" w:rsidR="00D555C4" w:rsidRDefault="00CF2B02" w:rsidP="00F22934">
      <w:pPr>
        <w:rPr>
          <w:lang w:val="en-US"/>
        </w:rPr>
      </w:pPr>
      <w:r>
        <w:rPr>
          <w:lang w:val="en-US"/>
        </w:rPr>
        <w:t xml:space="preserve">RAN1 asks for two sets of capabilities: one for frequency hopping and the other for Antenna switching. </w:t>
      </w:r>
    </w:p>
    <w:p w14:paraId="3CA8E1CA" w14:textId="63CE032F" w:rsidR="00C15C1A" w:rsidRDefault="006866E3" w:rsidP="00A67A30">
      <w:pPr>
        <w:pStyle w:val="Heading1"/>
        <w:rPr>
          <w:lang w:val="en-US"/>
        </w:rPr>
      </w:pPr>
      <w:r w:rsidRPr="00C15C1A">
        <w:rPr>
          <w:lang w:val="en-US"/>
        </w:rPr>
        <w:t>Discussion</w:t>
      </w:r>
    </w:p>
    <w:p w14:paraId="2714B4A0" w14:textId="5AB313AC" w:rsidR="007B5A78" w:rsidRDefault="007B5A78" w:rsidP="00EE2CF3">
      <w:pPr>
        <w:rPr>
          <w:lang w:val="en-US"/>
        </w:rPr>
      </w:pPr>
      <w:r>
        <w:rPr>
          <w:lang w:val="en-US"/>
        </w:rPr>
        <w:t xml:space="preserve">RAN1 is discussing different patterns for SRS transmissions on consecutive symbols and would like to know if for a given UE operating in a band if a guard period is necessary when frequency hopping or Antenna switching is scheduled in consecutive </w:t>
      </w:r>
      <w:r w:rsidR="0075662C">
        <w:rPr>
          <w:lang w:val="en-US"/>
        </w:rPr>
        <w:t xml:space="preserve">SRS </w:t>
      </w:r>
      <w:r>
        <w:rPr>
          <w:lang w:val="en-US"/>
        </w:rPr>
        <w:t xml:space="preserve">symbols. </w:t>
      </w:r>
    </w:p>
    <w:p w14:paraId="1A90B702" w14:textId="3B0481A1" w:rsidR="007B5A78" w:rsidRDefault="007B5A78" w:rsidP="00EE2CF3">
      <w:pPr>
        <w:rPr>
          <w:lang w:val="en-US"/>
        </w:rPr>
      </w:pPr>
      <w:r>
        <w:rPr>
          <w:lang w:val="en-US"/>
        </w:rPr>
        <w:t xml:space="preserve"> Based on this information </w:t>
      </w:r>
      <w:r w:rsidR="00F32027">
        <w:rPr>
          <w:lang w:val="en-US"/>
        </w:rPr>
        <w:t>e</w:t>
      </w:r>
      <w:r>
        <w:rPr>
          <w:lang w:val="en-US"/>
        </w:rPr>
        <w:t xml:space="preserve">NB could schedule a guard period or a repetition of </w:t>
      </w:r>
      <w:r w:rsidR="0075662C">
        <w:rPr>
          <w:lang w:val="en-US"/>
        </w:rPr>
        <w:t>the</w:t>
      </w:r>
      <w:r>
        <w:rPr>
          <w:lang w:val="en-US"/>
        </w:rPr>
        <w:t xml:space="preserve"> previous </w:t>
      </w:r>
      <w:r w:rsidR="0075662C">
        <w:rPr>
          <w:lang w:val="en-US"/>
        </w:rPr>
        <w:t xml:space="preserve">SRS </w:t>
      </w:r>
      <w:r>
        <w:rPr>
          <w:lang w:val="en-US"/>
        </w:rPr>
        <w:t xml:space="preserve">in that symbol. </w:t>
      </w:r>
    </w:p>
    <w:p w14:paraId="1C3CE0E3" w14:textId="22915824" w:rsidR="007B5A78" w:rsidRDefault="007B5A78" w:rsidP="00EE2CF3">
      <w:pPr>
        <w:rPr>
          <w:lang w:val="en-US"/>
        </w:rPr>
      </w:pPr>
      <w:r w:rsidRPr="00C02D81">
        <w:rPr>
          <w:b/>
          <w:bCs/>
          <w:lang w:val="en-US"/>
        </w:rPr>
        <w:t>Proposal 1:</w:t>
      </w:r>
      <w:r>
        <w:rPr>
          <w:lang w:val="en-US"/>
        </w:rPr>
        <w:t xml:space="preserve"> To introduce two capabilities: one for frequency hopping and </w:t>
      </w:r>
      <w:r w:rsidR="0075662C">
        <w:rPr>
          <w:lang w:val="en-US"/>
        </w:rPr>
        <w:t xml:space="preserve">another for </w:t>
      </w:r>
      <w:r>
        <w:rPr>
          <w:lang w:val="en-US"/>
        </w:rPr>
        <w:t>ant</w:t>
      </w:r>
      <w:r w:rsidR="006752E8">
        <w:rPr>
          <w:lang w:val="en-US"/>
        </w:rPr>
        <w:t xml:space="preserve">enna switching. The capability will indicate </w:t>
      </w:r>
      <w:r w:rsidR="00C26F63">
        <w:rPr>
          <w:lang w:val="en-US"/>
        </w:rPr>
        <w:t xml:space="preserve">whether </w:t>
      </w:r>
      <w:r w:rsidR="006752E8">
        <w:rPr>
          <w:lang w:val="en-US"/>
        </w:rPr>
        <w:t xml:space="preserve">a guard period is </w:t>
      </w:r>
      <w:r w:rsidR="00C26F63">
        <w:rPr>
          <w:lang w:val="en-US"/>
        </w:rPr>
        <w:t xml:space="preserve">not required </w:t>
      </w:r>
      <w:r w:rsidR="006752E8">
        <w:rPr>
          <w:lang w:val="en-US"/>
        </w:rPr>
        <w:t xml:space="preserve">for frequency hopping and for antenna switching. </w:t>
      </w:r>
    </w:p>
    <w:p w14:paraId="2B78A037" w14:textId="655156F5" w:rsidR="006752E8" w:rsidRDefault="006752E8" w:rsidP="00EE2CF3">
      <w:pPr>
        <w:rPr>
          <w:lang w:val="en-US"/>
        </w:rPr>
      </w:pPr>
      <w:r w:rsidRPr="00C02D81">
        <w:rPr>
          <w:b/>
          <w:bCs/>
          <w:lang w:val="en-US"/>
        </w:rPr>
        <w:t>Proposal 2:</w:t>
      </w:r>
      <w:r>
        <w:rPr>
          <w:lang w:val="en-US"/>
        </w:rPr>
        <w:t xml:space="preserve"> This capability will be band dependent. </w:t>
      </w:r>
    </w:p>
    <w:p w14:paraId="7C81F1E8" w14:textId="2F82CA33" w:rsidR="006752E8" w:rsidRPr="00EE2CF3" w:rsidRDefault="006752E8" w:rsidP="00EE2CF3">
      <w:pPr>
        <w:rPr>
          <w:lang w:val="en-US"/>
        </w:rPr>
      </w:pPr>
      <w:r w:rsidRPr="00C02D81">
        <w:rPr>
          <w:b/>
          <w:bCs/>
          <w:lang w:val="en-US"/>
        </w:rPr>
        <w:t>Proposal 3:</w:t>
      </w:r>
      <w:r>
        <w:rPr>
          <w:lang w:val="en-US"/>
        </w:rPr>
        <w:t xml:space="preserve"> Send </w:t>
      </w:r>
      <w:proofErr w:type="gramStart"/>
      <w:r>
        <w:rPr>
          <w:lang w:val="en-US"/>
        </w:rPr>
        <w:t>an</w:t>
      </w:r>
      <w:proofErr w:type="gramEnd"/>
      <w:r>
        <w:rPr>
          <w:lang w:val="en-US"/>
        </w:rPr>
        <w:t xml:space="preserve"> LS to RAN 1 indicating the same. </w:t>
      </w:r>
    </w:p>
    <w:p w14:paraId="0E0F4862" w14:textId="1A948B04" w:rsidR="002619C7" w:rsidRDefault="00BF6880" w:rsidP="00F22934">
      <w:pPr>
        <w:pStyle w:val="Heading1"/>
      </w:pPr>
      <w:r>
        <w:t>C</w:t>
      </w:r>
      <w:r w:rsidR="00C762BF">
        <w:t>onclusion</w:t>
      </w:r>
    </w:p>
    <w:p w14:paraId="4FA5C6FC" w14:textId="4A0FD9C2" w:rsidR="00EE2CF3" w:rsidRPr="00EE2CF3" w:rsidRDefault="006752E8" w:rsidP="00EE2CF3">
      <w:r>
        <w:t xml:space="preserve">RAN1 </w:t>
      </w:r>
      <w:r w:rsidR="00C02D81">
        <w:t xml:space="preserve">has </w:t>
      </w:r>
      <w:r>
        <w:t xml:space="preserve">sent </w:t>
      </w:r>
      <w:proofErr w:type="gramStart"/>
      <w:r>
        <w:t>an</w:t>
      </w:r>
      <w:proofErr w:type="gramEnd"/>
      <w:r>
        <w:t xml:space="preserve"> LS to RAN4 </w:t>
      </w:r>
      <w:r w:rsidR="00C02D81">
        <w:t xml:space="preserve">to consider defining signalling a capability if a UE doesn’t require a guard period when frequency hopping or Antenna switching has been scheduled between two consecutive SRS transmissions. In this paper, we propose to introduce the requested capabilities as stated in Proposals 1-3 above. </w:t>
      </w:r>
    </w:p>
    <w:p w14:paraId="0ECB10B7" w14:textId="25CF83AC" w:rsidR="00D62CD8" w:rsidRDefault="00D62CD8" w:rsidP="00D62CD8">
      <w:pPr>
        <w:pStyle w:val="Heading1"/>
        <w:jc w:val="both"/>
      </w:pPr>
      <w:r>
        <w:t>References</w:t>
      </w:r>
    </w:p>
    <w:p w14:paraId="24FB13F6" w14:textId="58DE4E6B" w:rsidR="00EE2CF3" w:rsidRPr="00EE2CF3" w:rsidRDefault="00C02D81" w:rsidP="00EE2CF3">
      <w:r>
        <w:t xml:space="preserve">[1] </w:t>
      </w:r>
      <w:r w:rsidRPr="00C02D81">
        <w:t>R1-1909908</w:t>
      </w:r>
      <w:r>
        <w:t xml:space="preserve">, </w:t>
      </w:r>
      <w:r w:rsidRPr="00C02D81">
        <w:t>LS on UE capability of guard period for SRS with frequency hopping and antenna switching</w:t>
      </w:r>
      <w:r>
        <w:t xml:space="preserve">, </w:t>
      </w:r>
      <w:r w:rsidRPr="00C02D81">
        <w:t>3GPP TSG-RAN WG1 Meeting #98</w:t>
      </w:r>
      <w:r>
        <w:t xml:space="preserve">, </w:t>
      </w:r>
      <w:r w:rsidR="002756CD" w:rsidRPr="002756CD">
        <w:t>Prague, Czech Republic, August 26 – 30, 2019</w:t>
      </w:r>
    </w:p>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0347D" w14:textId="77777777" w:rsidR="00AA0431" w:rsidRDefault="00AA0431">
      <w:r>
        <w:separator/>
      </w:r>
    </w:p>
  </w:endnote>
  <w:endnote w:type="continuationSeparator" w:id="0">
    <w:p w14:paraId="0D878435" w14:textId="77777777" w:rsidR="00AA0431" w:rsidRDefault="00AA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12BE8" w14:textId="77777777" w:rsidR="00AA0431" w:rsidRDefault="00AA0431">
      <w:r>
        <w:separator/>
      </w:r>
    </w:p>
  </w:footnote>
  <w:footnote w:type="continuationSeparator" w:id="0">
    <w:p w14:paraId="6D807D9F" w14:textId="77777777" w:rsidR="00AA0431" w:rsidRDefault="00AA04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9"/>
  </w:num>
  <w:num w:numId="4">
    <w:abstractNumId w:val="21"/>
  </w:num>
  <w:num w:numId="5">
    <w:abstractNumId w:val="12"/>
  </w:num>
  <w:num w:numId="6">
    <w:abstractNumId w:val="6"/>
  </w:num>
  <w:num w:numId="7">
    <w:abstractNumId w:val="1"/>
  </w:num>
  <w:num w:numId="8">
    <w:abstractNumId w:val="16"/>
  </w:num>
  <w:num w:numId="9">
    <w:abstractNumId w:val="7"/>
  </w:num>
  <w:num w:numId="10">
    <w:abstractNumId w:val="10"/>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 w:numId="2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0E79"/>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4BDE"/>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1D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424D"/>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423"/>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56CD"/>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17168"/>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897"/>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2E8"/>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62C"/>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6A1"/>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5A78"/>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919"/>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49BD"/>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1F9D"/>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1D4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3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14"/>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5D6B"/>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374"/>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2D81"/>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6F63"/>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B02"/>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677A"/>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55C4"/>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141"/>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2EB"/>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4FB"/>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02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7DAB5-751A-4541-B86A-8A81D8D62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1</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8</cp:revision>
  <cp:lastPrinted>2016-03-25T21:53:00Z</cp:lastPrinted>
  <dcterms:created xsi:type="dcterms:W3CDTF">2019-10-03T21:27:00Z</dcterms:created>
  <dcterms:modified xsi:type="dcterms:W3CDTF">2019-11-08T19:38:00Z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